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2"/>
        <w:gridCol w:w="3995"/>
      </w:tblGrid>
      <w:tr w:rsidR="0007250E" w:rsidRPr="00934A14" w:rsidTr="003F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BE3B8F" w:rsidRDefault="0007250E" w:rsidP="0085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BE3B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85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Приложение 1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 Правилам присвоения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ученых званий (ассоциированный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/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профессор (доцент), профессор)</w:t>
            </w:r>
          </w:p>
        </w:tc>
      </w:tr>
    </w:tbl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z59"/>
      <w:r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Справка</w:t>
      </w:r>
    </w:p>
    <w:bookmarkEnd w:id="0"/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</w:pPr>
      <w:r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>о соискателе ученого звания</w:t>
      </w:r>
      <w:r w:rsidR="005B79F5"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="00220E89" w:rsidRPr="00220E89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ассоциированный</w:t>
      </w:r>
      <w:r w:rsidR="00220E89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 xml:space="preserve"> </w:t>
      </w:r>
      <w:r w:rsidRPr="00E75532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профессор</w:t>
      </w:r>
      <w:r w:rsidR="00C03522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 xml:space="preserve"> (доцент)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  <w:lang w:val="ru-RU"/>
        </w:rPr>
      </w:pPr>
      <w:r w:rsidRPr="00E75532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по специальности </w:t>
      </w:r>
      <w:r w:rsidRPr="00E75532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05.22.00 – Транспорт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</w:pPr>
      <w:r w:rsidRPr="00E75532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(шифр и наименование специальности)</w:t>
      </w:r>
    </w:p>
    <w:p w:rsidR="0007250E" w:rsidRPr="00E75532" w:rsidRDefault="0007250E" w:rsidP="00855E9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535"/>
        <w:gridCol w:w="7503"/>
      </w:tblGrid>
      <w:tr w:rsidR="0057044B" w:rsidRPr="00E75532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Фамилия, имя, отчество (при его наличии)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F069C3" w:rsidP="00C03522">
            <w:pPr>
              <w:spacing w:after="0" w:line="240" w:lineRule="auto"/>
              <w:ind w:left="71" w:right="12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Бақыт Ғабит Бақытұлы</w:t>
            </w:r>
          </w:p>
        </w:tc>
      </w:tr>
      <w:tr w:rsidR="0057044B" w:rsidRPr="00934A14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Ученая (академическая) степень,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460" w:rsidRPr="00E75532" w:rsidRDefault="00F069C3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Доктор философии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PhD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A354EE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приказ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225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08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2.2018 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</w:t>
            </w:r>
            <w:r w:rsidR="009E29B7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МОН РК, </w:t>
            </w:r>
            <w:r w:rsidR="006A64A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</w:t>
            </w:r>
            <w:r w:rsidR="009E29B7"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</w:t>
            </w:r>
            <w:r w:rsidR="006A64AA"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9E29B7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000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2143</w:t>
            </w:r>
            <w:r w:rsidR="00945A4A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1D2F5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Ученое звание, дата присуждения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F069C3" w:rsidP="003B3277">
            <w:pPr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F069C3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Почетное звание, дата при</w:t>
            </w:r>
            <w:r w:rsidRP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суждения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3E36BF" w:rsidP="003B3277">
            <w:pPr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="002A0460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</w:t>
            </w:r>
          </w:p>
        </w:tc>
      </w:tr>
      <w:tr w:rsidR="0057044B" w:rsidRPr="00934A14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F069C3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9E3" w:rsidRPr="00C03522" w:rsidRDefault="002C59E3" w:rsidP="00C03522">
            <w:pPr>
              <w:spacing w:after="0" w:line="240" w:lineRule="auto"/>
              <w:ind w:left="71" w:right="122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Доцент кафедр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«Подвижной состав»</w:t>
            </w:r>
            <w:r w:rsidR="00A354EE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3E36BF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r w:rsidR="00A354EE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риказ</w:t>
            </w:r>
            <w:r w:rsidR="005B79F5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155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от 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.0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.201</w:t>
            </w:r>
            <w:r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8 </w:t>
            </w:r>
            <w:r w:rsidR="00DF00B7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</w:t>
            </w:r>
            <w:r w:rsidR="003E36BF" w:rsidRPr="002C59E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tr w:rsidR="0057044B" w:rsidRPr="00934A14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Стаж научной, научно-педагогической деятельности 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C03522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Всего </w:t>
            </w:r>
            <w:r w:rsidR="00C03522" w:rsidRPr="00934A1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10</w:t>
            </w:r>
            <w:r w:rsidR="002A0460"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лет, в том числе в должности</w:t>
            </w:r>
            <w:r w:rsidR="00DF00B7"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ассоциированного </w:t>
            </w:r>
            <w:r w:rsidR="00DF00B7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профессора </w:t>
            </w:r>
            <w:r w:rsidR="00F069C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(доцент) </w:t>
            </w:r>
            <w:proofErr w:type="spellStart"/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АЛиТ</w:t>
            </w:r>
            <w:proofErr w:type="spellEnd"/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КазАТК</w:t>
            </w:r>
            <w:proofErr w:type="spellEnd"/>
            <w:r w:rsidR="00C0352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="00A354EE"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C03522" w:rsidRPr="00934A1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3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года </w:t>
            </w:r>
            <w:r w:rsidR="00C0352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9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месяцев</w:t>
            </w:r>
          </w:p>
        </w:tc>
      </w:tr>
      <w:tr w:rsidR="0057044B" w:rsidRPr="00934A14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Количество научных статей после защиты диссертации</w:t>
            </w:r>
            <w:r w:rsidR="00F069C3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A14" w:rsidRPr="00934A14" w:rsidRDefault="00934A14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E755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23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934A14" w:rsidRPr="00934A14" w:rsidRDefault="00934A14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E755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 изданиях рекомендуемых уполномоченным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органо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E755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19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</w:p>
          <w:p w:rsidR="0007250E" w:rsidRPr="00E75532" w:rsidRDefault="00934A14" w:rsidP="00934A14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E7553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 научных журналах, входящих в базы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компании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Clarivate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Analytics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Кларивэйт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Аналитикс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) (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Clarivate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Analytics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Вэб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оф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Сайнс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Кор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Коллекшн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Кларивэйт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Аналитикс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))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или 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Scopus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Скопус</w:t>
            </w:r>
            <w:proofErr w:type="spellEnd"/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Cite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Score</w:t>
            </w:r>
            <w:r w:rsidRPr="00934A1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не менее 35 хотя бы по одной из научных областей – </w:t>
            </w:r>
            <w:r w:rsidRPr="00934A1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57044B" w:rsidRPr="006A69F0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Количество, изданных за </w:t>
            </w:r>
            <w:proofErr w:type="gramStart"/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последние</w:t>
            </w:r>
            <w:proofErr w:type="gramEnd"/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6A69F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  <w:r w:rsidR="00965CAA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="006A69F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лет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монографий, учебников, единолично написанных учебных (учебно-методическое) пособий 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69F0" w:rsidRDefault="006A69F0" w:rsidP="00C03522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Монография – </w:t>
            </w:r>
            <w:r w:rsidRPr="006A69F0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6A69F0" w:rsidRDefault="006A69F0" w:rsidP="00C03522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Учебник – 0;</w:t>
            </w:r>
          </w:p>
          <w:p w:rsidR="0007250E" w:rsidRPr="00E75532" w:rsidRDefault="006A69F0" w:rsidP="006A69F0">
            <w:pPr>
              <w:spacing w:after="0" w:line="240" w:lineRule="auto"/>
              <w:ind w:left="71" w:right="12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Учебное пособие – </w:t>
            </w:r>
            <w:r w:rsidRPr="006A69F0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3B3277" w:rsidP="003B3277">
            <w:pPr>
              <w:pStyle w:val="a4"/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</w:tr>
      <w:tr w:rsidR="0057044B" w:rsidRPr="00057921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277" w:rsidRDefault="003B327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2017-2018 уч. году студент группы ТТ(ЛТ)-15-2 </w:t>
            </w:r>
            <w:proofErr w:type="spellStart"/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Бақыбай</w:t>
            </w:r>
            <w:proofErr w:type="spellEnd"/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Қ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 по результатам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этапа Республиканской студенческой предметной олимпиады награжден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Дипломом 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степени МОН РК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3B3277" w:rsidRDefault="003B327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2018-2019 уч. году студентка группы ТТ(В)-16-1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</w:t>
            </w:r>
            <w:proofErr w:type="gramEnd"/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өбек</w:t>
            </w:r>
            <w:proofErr w:type="spellEnd"/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этапа Республиканской студенческой предметной олимпиады награжден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Дипломом 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067A39" w:rsidRPr="00E7553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степени МОН РК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07250E" w:rsidRPr="00E75532" w:rsidRDefault="00364B30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="00563DB6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201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="00563DB6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2019</w:t>
            </w:r>
            <w:r w:rsidR="00563DB6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уч.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="00563DB6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году н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аучно-исследовательская работа 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студента</w:t>
            </w:r>
            <w:r w:rsidR="002327E6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группы </w:t>
            </w:r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</w:t>
            </w:r>
            <w:proofErr w:type="gramStart"/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Т(</w:t>
            </w:r>
            <w:proofErr w:type="gramEnd"/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ЛТ)-15-2 Абдашев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</w:t>
            </w:r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Н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. 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по результатам 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Международного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конкурса 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научно-исследовательских работ 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студентов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награжден</w:t>
            </w:r>
            <w:r w:rsidR="00471DF1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 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Дипломом 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степени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Липецк, Россия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39361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E73850" w:rsidRDefault="00E73850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201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2019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уч.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году научно-исследовательская работа магистранта гр.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МН-ТТ-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17-1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Ғалымжан Н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  <w:r w:rsidR="00067A39"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</w:t>
            </w:r>
            <w:r w:rsid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.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по результатам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Республиканского конкурса научно-исследовательских работ магистрантов награжден</w:t>
            </w:r>
            <w:r w:rsidR="00471DF1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Дипломом 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степени</w:t>
            </w:r>
            <w:r w:rsidR="00067A39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МОН РК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F75C2E" w:rsidRDefault="00F75C2E" w:rsidP="00F75C2E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2019-2020 уч. году студентка группы Т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ЛТ)-17-2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Үсенова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А.Е. по результатам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этапа Республиканской студенческой предметной олимпиады награждена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Дипломом 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степени МОН РК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F75C2E" w:rsidRDefault="00F75C2E" w:rsidP="00F75C2E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2020-2021 уч. году студент группы Т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ЛТ)-18-2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Алланиязов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Ж.И. по результатам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3B3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этапа Республиканской студенческой предметной олимпиады награжден 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Дипломом </w:t>
            </w:r>
            <w:r w:rsidRPr="00E7553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степени МОН РК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F75C2E" w:rsidRPr="00E75532" w:rsidRDefault="00F75C2E" w:rsidP="00F75C2E">
            <w:pPr>
              <w:spacing w:after="0" w:line="228" w:lineRule="auto"/>
              <w:ind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7044B" w:rsidRPr="00E75532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11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16" w:lineRule="auto"/>
              <w:ind w:left="62" w:right="45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6268EB" w:rsidP="00220E89">
            <w:pPr>
              <w:spacing w:after="0" w:line="240" w:lineRule="auto"/>
              <w:ind w:left="71" w:right="12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="00A27269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</w:t>
            </w:r>
          </w:p>
        </w:tc>
      </w:tr>
      <w:tr w:rsidR="0057044B" w:rsidRPr="00F069C3" w:rsidTr="00057921">
        <w:trPr>
          <w:trHeight w:val="30"/>
        </w:trPr>
        <w:tc>
          <w:tcPr>
            <w:tcW w:w="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50E" w:rsidRPr="00E75532" w:rsidRDefault="0007250E" w:rsidP="00057921">
            <w:pPr>
              <w:spacing w:after="0" w:line="240" w:lineRule="auto"/>
              <w:ind w:left="60" w:righ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Дополнительна</w:t>
            </w:r>
            <w:bookmarkStart w:id="1" w:name="_GoBack"/>
            <w:bookmarkEnd w:id="1"/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831644" w:rsidRPr="00E75532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E755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</w:t>
            </w:r>
          </w:p>
        </w:tc>
        <w:tc>
          <w:tcPr>
            <w:tcW w:w="75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A39" w:rsidRDefault="00067A39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Разработчик </w:t>
            </w:r>
            <w:r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типов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</w:t>
            </w:r>
            <w:r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учебн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ой</w:t>
            </w:r>
            <w:r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ы</w:t>
            </w:r>
            <w:r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по дисциплине «Энергетические установки транспортной техники» для специальности  5В071300-Транспорт, транспортная техника и технологии (2016 г.)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.</w:t>
            </w:r>
          </w:p>
          <w:p w:rsidR="00067A39" w:rsidRDefault="00067A39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67A3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Разработчик типовой учебной программы для прикладного бакалавра по специальности 1105000 - Эксплуатация, техническое обслуживание и ремонт городского электротранспорта (по отраслям) (2019 г.)</w:t>
            </w:r>
          </w:p>
          <w:p w:rsidR="00434768" w:rsidRPr="00E75532" w:rsidRDefault="007B0141" w:rsidP="00C03522">
            <w:pPr>
              <w:pStyle w:val="a5"/>
              <w:spacing w:after="0" w:line="228" w:lineRule="auto"/>
              <w:ind w:left="137" w:right="125"/>
              <w:jc w:val="both"/>
              <w:rPr>
                <w:sz w:val="23"/>
                <w:szCs w:val="23"/>
              </w:rPr>
            </w:pPr>
            <w:r w:rsidRPr="00E75532">
              <w:rPr>
                <w:sz w:val="23"/>
                <w:szCs w:val="23"/>
              </w:rPr>
              <w:t>Награжден</w:t>
            </w:r>
            <w:r w:rsidR="0057044B" w:rsidRPr="00E75532">
              <w:rPr>
                <w:sz w:val="23"/>
                <w:szCs w:val="23"/>
                <w:lang w:val="kk-KZ"/>
              </w:rPr>
              <w:t xml:space="preserve"> </w:t>
            </w:r>
            <w:r w:rsidR="00067A39">
              <w:rPr>
                <w:sz w:val="23"/>
                <w:szCs w:val="23"/>
              </w:rPr>
              <w:t>благодарственными письмами</w:t>
            </w:r>
            <w:r w:rsidR="0057044B" w:rsidRPr="00E75532">
              <w:rPr>
                <w:sz w:val="23"/>
                <w:szCs w:val="23"/>
              </w:rPr>
              <w:t xml:space="preserve"> руководства КазАТК в 201</w:t>
            </w:r>
            <w:r w:rsidR="00067A39">
              <w:rPr>
                <w:sz w:val="23"/>
                <w:szCs w:val="23"/>
              </w:rPr>
              <w:t>7 </w:t>
            </w:r>
            <w:r w:rsidR="0057044B" w:rsidRPr="00E75532">
              <w:rPr>
                <w:sz w:val="23"/>
                <w:szCs w:val="23"/>
              </w:rPr>
              <w:t>г.</w:t>
            </w:r>
            <w:r w:rsidR="00067A39">
              <w:rPr>
                <w:sz w:val="23"/>
                <w:szCs w:val="23"/>
              </w:rPr>
              <w:t>, 2018 г.</w:t>
            </w:r>
            <w:r w:rsidR="0057044B" w:rsidRPr="00E75532">
              <w:rPr>
                <w:sz w:val="23"/>
                <w:szCs w:val="23"/>
              </w:rPr>
              <w:t xml:space="preserve"> и 201</w:t>
            </w:r>
            <w:r w:rsidR="00067A39">
              <w:rPr>
                <w:sz w:val="23"/>
                <w:szCs w:val="23"/>
              </w:rPr>
              <w:t>9 </w:t>
            </w:r>
            <w:r w:rsidR="0057044B" w:rsidRPr="00E75532">
              <w:rPr>
                <w:sz w:val="23"/>
                <w:szCs w:val="23"/>
              </w:rPr>
              <w:t xml:space="preserve">г. </w:t>
            </w:r>
            <w:r w:rsidR="00BE3B8F" w:rsidRPr="00E75532">
              <w:rPr>
                <w:color w:val="000000"/>
                <w:sz w:val="23"/>
                <w:szCs w:val="23"/>
              </w:rPr>
              <w:t xml:space="preserve">Имеет благодарственное письмо председателя </w:t>
            </w:r>
            <w:r w:rsidR="00BD4AA4" w:rsidRPr="00E75532">
              <w:rPr>
                <w:color w:val="000000"/>
                <w:sz w:val="23"/>
                <w:szCs w:val="23"/>
              </w:rPr>
              <w:t>П</w:t>
            </w:r>
            <w:r w:rsidR="00BE3B8F" w:rsidRPr="00E75532">
              <w:rPr>
                <w:color w:val="000000"/>
                <w:sz w:val="23"/>
                <w:szCs w:val="23"/>
              </w:rPr>
              <w:t>равления АО НК «КТЖ» К.</w:t>
            </w:r>
            <w:r w:rsidR="00067A39">
              <w:rPr>
                <w:color w:val="000000"/>
                <w:sz w:val="23"/>
                <w:szCs w:val="23"/>
              </w:rPr>
              <w:t> </w:t>
            </w:r>
            <w:proofErr w:type="spellStart"/>
            <w:r w:rsidR="00BE3B8F" w:rsidRPr="00E75532">
              <w:rPr>
                <w:color w:val="000000"/>
                <w:sz w:val="23"/>
                <w:szCs w:val="23"/>
              </w:rPr>
              <w:t>Алпысбаева</w:t>
            </w:r>
            <w:proofErr w:type="spellEnd"/>
            <w:r w:rsidR="00BD4AA4" w:rsidRPr="00E75532">
              <w:rPr>
                <w:color w:val="000000"/>
                <w:sz w:val="23"/>
                <w:szCs w:val="23"/>
              </w:rPr>
              <w:t xml:space="preserve"> (</w:t>
            </w:r>
            <w:r w:rsidR="00BE3B8F" w:rsidRPr="00E75532">
              <w:rPr>
                <w:color w:val="000000"/>
                <w:sz w:val="23"/>
                <w:szCs w:val="23"/>
              </w:rPr>
              <w:t>2018</w:t>
            </w:r>
            <w:r w:rsidR="00067A39">
              <w:rPr>
                <w:color w:val="000000"/>
                <w:sz w:val="23"/>
                <w:szCs w:val="23"/>
              </w:rPr>
              <w:t> </w:t>
            </w:r>
            <w:r w:rsidR="00BE3B8F" w:rsidRPr="00E75532">
              <w:rPr>
                <w:color w:val="000000"/>
                <w:sz w:val="23"/>
                <w:szCs w:val="23"/>
              </w:rPr>
              <w:t>г.</w:t>
            </w:r>
            <w:r w:rsidR="00BD4AA4" w:rsidRPr="00E75532">
              <w:rPr>
                <w:color w:val="000000"/>
                <w:sz w:val="23"/>
                <w:szCs w:val="23"/>
              </w:rPr>
              <w:t>).</w:t>
            </w:r>
            <w:r w:rsidR="00E63EC5">
              <w:rPr>
                <w:color w:val="000000"/>
                <w:sz w:val="23"/>
                <w:szCs w:val="23"/>
              </w:rPr>
              <w:t xml:space="preserve"> Награжден серебряной медалью имени А. </w:t>
            </w:r>
            <w:proofErr w:type="spellStart"/>
            <w:r w:rsidR="00E63EC5">
              <w:rPr>
                <w:color w:val="000000"/>
                <w:sz w:val="23"/>
                <w:szCs w:val="23"/>
              </w:rPr>
              <w:t>Байтурсынова</w:t>
            </w:r>
            <w:proofErr w:type="spellEnd"/>
            <w:r w:rsidR="00E63EC5">
              <w:rPr>
                <w:color w:val="000000"/>
                <w:sz w:val="23"/>
                <w:szCs w:val="23"/>
              </w:rPr>
              <w:t xml:space="preserve"> (2019 г.).</w:t>
            </w:r>
          </w:p>
          <w:p w:rsidR="00434768" w:rsidRPr="00E75532" w:rsidRDefault="00434768" w:rsidP="00C03522">
            <w:pPr>
              <w:pStyle w:val="a5"/>
              <w:spacing w:after="0" w:line="228" w:lineRule="auto"/>
              <w:ind w:left="137" w:right="125"/>
              <w:jc w:val="both"/>
              <w:rPr>
                <w:sz w:val="23"/>
                <w:szCs w:val="23"/>
              </w:rPr>
            </w:pPr>
            <w:r w:rsidRPr="00E75532">
              <w:rPr>
                <w:sz w:val="23"/>
                <w:szCs w:val="23"/>
              </w:rPr>
              <w:t xml:space="preserve">Является обладателем звания «Лучший преподаватель </w:t>
            </w:r>
            <w:r w:rsidR="009F6072" w:rsidRPr="00E75532">
              <w:rPr>
                <w:sz w:val="23"/>
                <w:szCs w:val="23"/>
              </w:rPr>
              <w:t>ВУЗ</w:t>
            </w:r>
            <w:r w:rsidR="009F6072">
              <w:rPr>
                <w:sz w:val="23"/>
                <w:szCs w:val="23"/>
              </w:rPr>
              <w:t>а </w:t>
            </w:r>
            <w:r w:rsidR="00067A39">
              <w:rPr>
                <w:sz w:val="23"/>
                <w:szCs w:val="23"/>
              </w:rPr>
              <w:t xml:space="preserve">– </w:t>
            </w:r>
            <w:r w:rsidRPr="00E75532">
              <w:rPr>
                <w:sz w:val="23"/>
                <w:szCs w:val="23"/>
              </w:rPr>
              <w:t>201</w:t>
            </w:r>
            <w:r w:rsidR="00067A39">
              <w:rPr>
                <w:sz w:val="23"/>
                <w:szCs w:val="23"/>
              </w:rPr>
              <w:t>9</w:t>
            </w:r>
            <w:r w:rsidRPr="00E75532">
              <w:rPr>
                <w:sz w:val="23"/>
                <w:szCs w:val="23"/>
              </w:rPr>
              <w:t>г</w:t>
            </w:r>
            <w:r w:rsidR="00870BBB" w:rsidRPr="00E75532">
              <w:rPr>
                <w:sz w:val="23"/>
                <w:szCs w:val="23"/>
              </w:rPr>
              <w:t>.</w:t>
            </w:r>
            <w:r w:rsidRPr="00E75532">
              <w:rPr>
                <w:sz w:val="23"/>
                <w:szCs w:val="23"/>
              </w:rPr>
              <w:t>».</w:t>
            </w:r>
          </w:p>
          <w:p w:rsidR="007B0141" w:rsidRPr="00E75532" w:rsidRDefault="0057044B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постоянной основе принимает участие в </w:t>
            </w:r>
            <w:r w:rsidR="001D2F5C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выполнении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госбюджетных и хоздоговорных научно-исследовательских работ</w:t>
            </w:r>
            <w:r w:rsidR="007B0141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:</w:t>
            </w:r>
          </w:p>
          <w:p w:rsidR="00312CA7" w:rsidRPr="00E75532" w:rsidRDefault="00312CA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1) «</w:t>
            </w:r>
            <w:r w:rsidR="00E63EC5" w:rsidRPr="00E63EC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Исследование показателей надежности и безопасности подвижного состава</w:t>
            </w:r>
            <w:r w:rsidR="00E63EC5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» (2016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г.)</w:t>
            </w:r>
            <w:r w:rsidR="00870BBB"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;</w:t>
            </w:r>
          </w:p>
          <w:p w:rsidR="00312CA7" w:rsidRPr="00E75532" w:rsidRDefault="00312CA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2) «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Руководство по техническому обслуживанию вагонов «Тальго» на пути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 (2013г.)</w:t>
            </w:r>
            <w:r w:rsidR="00870BBB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12CA7" w:rsidRPr="00E75532" w:rsidRDefault="00312CA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3) «</w:t>
            </w:r>
            <w:r w:rsidR="00E63EC5" w:rsidRP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Разработка правил тяговых расчетов поездной работы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 (201</w:t>
            </w:r>
            <w:r w:rsid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г.)</w:t>
            </w:r>
            <w:r w:rsidR="00870BBB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12CA7" w:rsidRPr="00E75532" w:rsidRDefault="00312CA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4) </w:t>
            </w:r>
            <w:r w:rsidRPr="00E75532">
              <w:rPr>
                <w:rFonts w:ascii="Times New Roman" w:hAnsi="Times New Roman" w:cs="Times New Roman"/>
                <w:caps/>
                <w:sz w:val="23"/>
                <w:szCs w:val="23"/>
                <w:lang w:val="ru-RU"/>
              </w:rPr>
              <w:t>«</w:t>
            </w:r>
            <w:r w:rsidR="00E63EC5" w:rsidRPr="00E63EC5">
              <w:rPr>
                <w:rFonts w:ascii="Times New Roman" w:hAnsi="Times New Roman" w:cs="Times New Roman"/>
                <w:caps/>
                <w:sz w:val="23"/>
                <w:szCs w:val="23"/>
                <w:lang w:val="ru-RU"/>
              </w:rPr>
              <w:t>П</w:t>
            </w:r>
            <w:r w:rsidR="00E63EC5" w:rsidRP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еревод документации на грузовой электровоз серии </w:t>
            </w:r>
            <w:r w:rsidR="00E63EC5" w:rsidRPr="00E63EC5">
              <w:rPr>
                <w:rFonts w:ascii="Times New Roman" w:hAnsi="Times New Roman" w:cs="Times New Roman"/>
                <w:caps/>
                <w:sz w:val="23"/>
                <w:szCs w:val="23"/>
                <w:lang w:val="ru-RU"/>
              </w:rPr>
              <w:t>KZ8A</w:t>
            </w:r>
            <w:r w:rsid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 (2016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г.)</w:t>
            </w:r>
            <w:r w:rsidR="00870BBB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12CA7" w:rsidRDefault="00312CA7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5) «</w:t>
            </w:r>
            <w:r w:rsidR="00E63EC5" w:rsidRP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Комплексн</w:t>
            </w:r>
            <w:r w:rsidR="00810BC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</w:t>
            </w:r>
            <w:r w:rsidR="00E63EC5" w:rsidRP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 динамические испытания и испытания по воздействию на путь и стрелочные переводы маневрового тепловоза CKD6e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 (201</w:t>
            </w:r>
            <w:r w:rsid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-201</w:t>
            </w:r>
            <w:r w:rsidR="00E63E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="001E06D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гг.)</w:t>
            </w:r>
            <w:r w:rsidR="00434768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E63EC5" w:rsidRPr="00E75532" w:rsidRDefault="00E63EC5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6) </w:t>
            </w:r>
            <w:r w:rsidR="001E06D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«</w:t>
            </w:r>
            <w:r w:rsidR="001E06DD" w:rsidRPr="001E06D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Исследование эффективности применения накопителей энергии на электроподвижном составе</w:t>
            </w:r>
            <w:r w:rsidR="001E06D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» (</w:t>
            </w:r>
            <w:r w:rsidR="001E06DD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201</w:t>
            </w:r>
            <w:r w:rsidR="001E06D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9 </w:t>
            </w:r>
            <w:r w:rsidR="001E06DD"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г.).</w:t>
            </w:r>
          </w:p>
          <w:p w:rsidR="0007250E" w:rsidRPr="00E75532" w:rsidRDefault="00434768" w:rsidP="00C03522">
            <w:pPr>
              <w:spacing w:after="0" w:line="228" w:lineRule="auto"/>
              <w:ind w:left="137" w:right="125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7553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Участвовал в работе </w:t>
            </w:r>
            <w:r w:rsidR="001E06D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 разработке и экспертизе тестовых вопросов по дисциплине «Энергетические установки транспортной техники» для проведения ВОУД и комплексного тестирования для поступления в магистратуру. (2016-2019 гг.).</w:t>
            </w:r>
          </w:p>
        </w:tc>
      </w:tr>
    </w:tbl>
    <w:p w:rsidR="00046E84" w:rsidRPr="00E75532" w:rsidRDefault="00046E84" w:rsidP="00855E9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8E058A" w:rsidRPr="00E75532" w:rsidRDefault="008E058A" w:rsidP="00855E9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F7725A" w:rsidRPr="00934A14" w:rsidRDefault="00C03522" w:rsidP="009824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</w:pPr>
      <w:proofErr w:type="spellStart"/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И.о</w:t>
      </w:r>
      <w:proofErr w:type="spellEnd"/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. заведующего кафедрой</w:t>
      </w:r>
    </w:p>
    <w:p w:rsidR="00046E84" w:rsidRPr="00934A14" w:rsidRDefault="00C03522" w:rsidP="009824B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«Магистральная инженерия»</w:t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r w:rsidR="00F7725A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</w:r>
      <w:r w:rsidR="00046E84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______________</w:t>
      </w:r>
      <w:r w:rsidR="00E75446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_____</w:t>
      </w:r>
      <w:r w:rsidR="00046E84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_</w:t>
      </w:r>
      <w:r w:rsidR="00E75446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 w:rsidR="009824BF"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ab/>
        <w:t xml:space="preserve">    </w:t>
      </w:r>
      <w:proofErr w:type="spellStart"/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Аширбаев</w:t>
      </w:r>
      <w:proofErr w:type="spellEnd"/>
      <w:r w:rsidRPr="00934A1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Г.К.</w:t>
      </w:r>
    </w:p>
    <w:p w:rsidR="00D04BA7" w:rsidRPr="00D079A5" w:rsidRDefault="00046E84" w:rsidP="009824BF">
      <w:pPr>
        <w:spacing w:after="0" w:line="240" w:lineRule="auto"/>
        <w:ind w:left="5040" w:firstLine="63"/>
        <w:rPr>
          <w:rFonts w:ascii="Times New Roman" w:hAnsi="Times New Roman" w:cs="Times New Roman"/>
          <w:sz w:val="23"/>
          <w:szCs w:val="23"/>
          <w:lang w:val="ru-RU"/>
        </w:rPr>
      </w:pPr>
      <w:r w:rsidRPr="00D079A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75446" w:rsidRPr="00D079A5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      </w:t>
      </w:r>
      <w:r w:rsidRPr="00D079A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3B3277" w:rsidRPr="00D079A5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  </w:t>
      </w:r>
      <w:r w:rsidR="009824BF" w:rsidRPr="00D079A5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                                          </w:t>
      </w:r>
      <w:r w:rsidR="003B3277" w:rsidRPr="00D079A5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(Ф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И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О</w:t>
      </w:r>
      <w:r w:rsidR="002B3B89"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.</w:t>
      </w:r>
      <w:r w:rsidRPr="00D079A5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ru-RU"/>
        </w:rPr>
        <w:t>)</w:t>
      </w:r>
    </w:p>
    <w:sectPr w:rsidR="00D04BA7" w:rsidRPr="00D079A5" w:rsidSect="00E75446">
      <w:footerReference w:type="default" r:id="rId8"/>
      <w:pgSz w:w="12240" w:h="15840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19" w:rsidRDefault="00D63319" w:rsidP="00926BC4">
      <w:pPr>
        <w:spacing w:after="0" w:line="240" w:lineRule="auto"/>
      </w:pPr>
      <w:r>
        <w:separator/>
      </w:r>
    </w:p>
  </w:endnote>
  <w:endnote w:type="continuationSeparator" w:id="0">
    <w:p w:rsidR="00D63319" w:rsidRDefault="00D63319" w:rsidP="009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689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6BC4" w:rsidRPr="00926BC4" w:rsidRDefault="00926BC4" w:rsidP="00926BC4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26B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6B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6B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7921" w:rsidRPr="00057921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926B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19" w:rsidRDefault="00D63319" w:rsidP="00926BC4">
      <w:pPr>
        <w:spacing w:after="0" w:line="240" w:lineRule="auto"/>
      </w:pPr>
      <w:r>
        <w:separator/>
      </w:r>
    </w:p>
  </w:footnote>
  <w:footnote w:type="continuationSeparator" w:id="0">
    <w:p w:rsidR="00D63319" w:rsidRDefault="00D63319" w:rsidP="0092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AB"/>
    <w:multiLevelType w:val="hybridMultilevel"/>
    <w:tmpl w:val="3E00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509"/>
    <w:multiLevelType w:val="hybridMultilevel"/>
    <w:tmpl w:val="CECE70D4"/>
    <w:lvl w:ilvl="0" w:tplc="FF668C4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34E0231C"/>
    <w:multiLevelType w:val="hybridMultilevel"/>
    <w:tmpl w:val="E0D4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67B8"/>
    <w:multiLevelType w:val="hybridMultilevel"/>
    <w:tmpl w:val="3C32BDB4"/>
    <w:lvl w:ilvl="0" w:tplc="0826E7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6"/>
    <w:rsid w:val="00046E84"/>
    <w:rsid w:val="00052FF3"/>
    <w:rsid w:val="00057921"/>
    <w:rsid w:val="000627F4"/>
    <w:rsid w:val="00067A39"/>
    <w:rsid w:val="00072220"/>
    <w:rsid w:val="0007250E"/>
    <w:rsid w:val="000806FE"/>
    <w:rsid w:val="000C0D41"/>
    <w:rsid w:val="000E4431"/>
    <w:rsid w:val="000F463B"/>
    <w:rsid w:val="00184DCF"/>
    <w:rsid w:val="001A706E"/>
    <w:rsid w:val="001D2F5C"/>
    <w:rsid w:val="001E06DD"/>
    <w:rsid w:val="00220E89"/>
    <w:rsid w:val="002327E6"/>
    <w:rsid w:val="00291367"/>
    <w:rsid w:val="002A0008"/>
    <w:rsid w:val="002A0460"/>
    <w:rsid w:val="002B3B89"/>
    <w:rsid w:val="002C4FF2"/>
    <w:rsid w:val="002C59E3"/>
    <w:rsid w:val="002F6BC4"/>
    <w:rsid w:val="00312CA7"/>
    <w:rsid w:val="00340670"/>
    <w:rsid w:val="00362AD0"/>
    <w:rsid w:val="00363D53"/>
    <w:rsid w:val="00364B30"/>
    <w:rsid w:val="003738D5"/>
    <w:rsid w:val="0039361C"/>
    <w:rsid w:val="003B1F10"/>
    <w:rsid w:val="003B3277"/>
    <w:rsid w:val="003C50E3"/>
    <w:rsid w:val="003E2C6E"/>
    <w:rsid w:val="003E36BF"/>
    <w:rsid w:val="00412A8E"/>
    <w:rsid w:val="00434768"/>
    <w:rsid w:val="0046595E"/>
    <w:rsid w:val="00471DF1"/>
    <w:rsid w:val="004A6581"/>
    <w:rsid w:val="004C7678"/>
    <w:rsid w:val="00536FEC"/>
    <w:rsid w:val="005562D0"/>
    <w:rsid w:val="00563DB6"/>
    <w:rsid w:val="0057044B"/>
    <w:rsid w:val="005B5607"/>
    <w:rsid w:val="005B79F5"/>
    <w:rsid w:val="005E6804"/>
    <w:rsid w:val="005E6D3D"/>
    <w:rsid w:val="005E7037"/>
    <w:rsid w:val="0061425D"/>
    <w:rsid w:val="006268EB"/>
    <w:rsid w:val="006A64AA"/>
    <w:rsid w:val="006A69F0"/>
    <w:rsid w:val="006B5EF3"/>
    <w:rsid w:val="007315D1"/>
    <w:rsid w:val="007320D9"/>
    <w:rsid w:val="00737CE9"/>
    <w:rsid w:val="00762F8E"/>
    <w:rsid w:val="007806DC"/>
    <w:rsid w:val="007B0141"/>
    <w:rsid w:val="00810BCD"/>
    <w:rsid w:val="00831644"/>
    <w:rsid w:val="00840D47"/>
    <w:rsid w:val="00855E94"/>
    <w:rsid w:val="00870BBB"/>
    <w:rsid w:val="008C575C"/>
    <w:rsid w:val="008E058A"/>
    <w:rsid w:val="00926BC4"/>
    <w:rsid w:val="00934A14"/>
    <w:rsid w:val="00945A4A"/>
    <w:rsid w:val="00965CAA"/>
    <w:rsid w:val="009824BF"/>
    <w:rsid w:val="009E29B7"/>
    <w:rsid w:val="009F6072"/>
    <w:rsid w:val="00A27269"/>
    <w:rsid w:val="00A354D9"/>
    <w:rsid w:val="00A354EE"/>
    <w:rsid w:val="00A55381"/>
    <w:rsid w:val="00A70875"/>
    <w:rsid w:val="00AB1CA3"/>
    <w:rsid w:val="00AD7022"/>
    <w:rsid w:val="00AE4E2C"/>
    <w:rsid w:val="00B31447"/>
    <w:rsid w:val="00B51CA2"/>
    <w:rsid w:val="00B674A3"/>
    <w:rsid w:val="00BD4AA4"/>
    <w:rsid w:val="00BE3B8F"/>
    <w:rsid w:val="00BF358F"/>
    <w:rsid w:val="00C03522"/>
    <w:rsid w:val="00C42D1C"/>
    <w:rsid w:val="00C56C73"/>
    <w:rsid w:val="00CA664C"/>
    <w:rsid w:val="00CE6F3C"/>
    <w:rsid w:val="00D04BA7"/>
    <w:rsid w:val="00D079A5"/>
    <w:rsid w:val="00D24CF3"/>
    <w:rsid w:val="00D30258"/>
    <w:rsid w:val="00D55B9C"/>
    <w:rsid w:val="00D574F1"/>
    <w:rsid w:val="00D63319"/>
    <w:rsid w:val="00D73429"/>
    <w:rsid w:val="00D871E5"/>
    <w:rsid w:val="00DD18F6"/>
    <w:rsid w:val="00DF00B7"/>
    <w:rsid w:val="00E16142"/>
    <w:rsid w:val="00E21BDF"/>
    <w:rsid w:val="00E576CE"/>
    <w:rsid w:val="00E63EC5"/>
    <w:rsid w:val="00E73850"/>
    <w:rsid w:val="00E75446"/>
    <w:rsid w:val="00E75532"/>
    <w:rsid w:val="00F02344"/>
    <w:rsid w:val="00F04C10"/>
    <w:rsid w:val="00F069C3"/>
    <w:rsid w:val="00F126F9"/>
    <w:rsid w:val="00F65C87"/>
    <w:rsid w:val="00F75C2E"/>
    <w:rsid w:val="00F7725A"/>
    <w:rsid w:val="00F779D0"/>
    <w:rsid w:val="00F81BDB"/>
    <w:rsid w:val="00FB4E84"/>
    <w:rsid w:val="00F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E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7250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E6F3C"/>
    <w:pPr>
      <w:ind w:left="720"/>
      <w:contextualSpacing/>
    </w:pPr>
  </w:style>
  <w:style w:type="paragraph" w:styleId="a5">
    <w:name w:val="Body Text Indent"/>
    <w:basedOn w:val="a"/>
    <w:link w:val="a6"/>
    <w:rsid w:val="004347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347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BC4"/>
    <w:rPr>
      <w:rFonts w:ascii="Consolas" w:eastAsia="Consolas" w:hAnsi="Consolas" w:cs="Consolas"/>
    </w:rPr>
  </w:style>
  <w:style w:type="paragraph" w:styleId="a9">
    <w:name w:val="footer"/>
    <w:basedOn w:val="a"/>
    <w:link w:val="aa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BC4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E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7250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E6F3C"/>
    <w:pPr>
      <w:ind w:left="720"/>
      <w:contextualSpacing/>
    </w:pPr>
  </w:style>
  <w:style w:type="paragraph" w:styleId="a5">
    <w:name w:val="Body Text Indent"/>
    <w:basedOn w:val="a"/>
    <w:link w:val="a6"/>
    <w:rsid w:val="004347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347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BC4"/>
    <w:rPr>
      <w:rFonts w:ascii="Consolas" w:eastAsia="Consolas" w:hAnsi="Consolas" w:cs="Consolas"/>
    </w:rPr>
  </w:style>
  <w:style w:type="paragraph" w:styleId="a9">
    <w:name w:val="footer"/>
    <w:basedOn w:val="a"/>
    <w:link w:val="aa"/>
    <w:uiPriority w:val="99"/>
    <w:unhideWhenUsed/>
    <w:rsid w:val="009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BC4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Мусаев</dc:creator>
  <cp:keywords/>
  <dc:description/>
  <cp:lastModifiedBy>Admin</cp:lastModifiedBy>
  <cp:revision>68</cp:revision>
  <cp:lastPrinted>2020-11-22T21:21:00Z</cp:lastPrinted>
  <dcterms:created xsi:type="dcterms:W3CDTF">2020-10-31T08:15:00Z</dcterms:created>
  <dcterms:modified xsi:type="dcterms:W3CDTF">2021-11-14T19:43:00Z</dcterms:modified>
</cp:coreProperties>
</file>